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highlight w:val="none"/>
        </w:rPr>
      </w:pPr>
    </w:p>
    <w:p w14:paraId="0722EA08">
      <w:pPr>
        <w:jc w:val="center"/>
        <w:rPr>
          <w:rFonts w:ascii="黑体" w:hAnsi="黑体" w:eastAsia="黑体"/>
          <w:sz w:val="44"/>
          <w:szCs w:val="44"/>
          <w:highlight w:val="none"/>
        </w:rPr>
      </w:pPr>
    </w:p>
    <w:p w14:paraId="5712AD97">
      <w:pPr>
        <w:jc w:val="center"/>
        <w:rPr>
          <w:rFonts w:ascii="黑体" w:hAnsi="黑体" w:eastAsia="黑体"/>
          <w:sz w:val="44"/>
          <w:szCs w:val="44"/>
          <w:highlight w:val="none"/>
        </w:rPr>
      </w:pPr>
    </w:p>
    <w:p w14:paraId="4DAE025F">
      <w:pPr>
        <w:jc w:val="center"/>
        <w:rPr>
          <w:rFonts w:ascii="黑体" w:hAnsi="黑体" w:eastAsia="黑体"/>
          <w:sz w:val="44"/>
          <w:szCs w:val="44"/>
          <w:highlight w:val="none"/>
        </w:rPr>
      </w:pPr>
    </w:p>
    <w:p w14:paraId="5C6FEE61">
      <w:pPr>
        <w:jc w:val="center"/>
        <w:rPr>
          <w:rFonts w:ascii="黑体" w:hAnsi="黑体" w:eastAsia="黑体"/>
          <w:sz w:val="44"/>
          <w:szCs w:val="44"/>
          <w:highlight w:val="none"/>
        </w:rPr>
      </w:pPr>
    </w:p>
    <w:p w14:paraId="0C4E6967">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永吉县人民政府办公室</w:t>
      </w:r>
    </w:p>
    <w:p w14:paraId="0050A5F4">
      <w:pPr>
        <w:jc w:val="center"/>
        <w:rPr>
          <w:rFonts w:ascii="黑体" w:hAnsi="黑体" w:eastAsia="黑体"/>
          <w:sz w:val="52"/>
          <w:szCs w:val="52"/>
          <w:highlight w:val="none"/>
        </w:rPr>
      </w:pPr>
      <w:r>
        <w:rPr>
          <w:rFonts w:hint="eastAsia" w:ascii="黑体" w:hAnsi="黑体" w:eastAsia="黑体"/>
          <w:sz w:val="52"/>
          <w:szCs w:val="52"/>
          <w:highlight w:val="none"/>
        </w:rPr>
        <w:t>2026年部门预算</w:t>
      </w:r>
    </w:p>
    <w:p w14:paraId="5C42AB12">
      <w:pPr>
        <w:jc w:val="center"/>
        <w:rPr>
          <w:rFonts w:ascii="黑体" w:hAnsi="黑体" w:eastAsia="黑体"/>
          <w:sz w:val="44"/>
          <w:szCs w:val="44"/>
          <w:highlight w:val="none"/>
        </w:rPr>
      </w:pPr>
    </w:p>
    <w:p w14:paraId="5EF162CE">
      <w:pPr>
        <w:jc w:val="center"/>
        <w:rPr>
          <w:rFonts w:ascii="黑体" w:hAnsi="黑体" w:eastAsia="黑体"/>
          <w:sz w:val="44"/>
          <w:szCs w:val="44"/>
          <w:highlight w:val="none"/>
        </w:rPr>
      </w:pPr>
    </w:p>
    <w:p w14:paraId="6D7738A2">
      <w:pPr>
        <w:jc w:val="center"/>
        <w:rPr>
          <w:rFonts w:ascii="黑体" w:hAnsi="黑体" w:eastAsia="黑体"/>
          <w:sz w:val="44"/>
          <w:szCs w:val="44"/>
          <w:highlight w:val="none"/>
        </w:rPr>
      </w:pPr>
      <w:bookmarkStart w:id="0" w:name="_GoBack"/>
      <w:bookmarkEnd w:id="0"/>
    </w:p>
    <w:p w14:paraId="1997C969">
      <w:pPr>
        <w:jc w:val="center"/>
        <w:rPr>
          <w:rFonts w:ascii="黑体" w:hAnsi="黑体" w:eastAsia="黑体"/>
          <w:sz w:val="44"/>
          <w:szCs w:val="44"/>
          <w:highlight w:val="none"/>
        </w:rPr>
      </w:pPr>
    </w:p>
    <w:p w14:paraId="4F4ABFCB">
      <w:pPr>
        <w:jc w:val="center"/>
        <w:rPr>
          <w:rFonts w:ascii="黑体" w:hAnsi="黑体" w:eastAsia="黑体"/>
          <w:sz w:val="44"/>
          <w:szCs w:val="44"/>
          <w:highlight w:val="none"/>
        </w:rPr>
      </w:pPr>
    </w:p>
    <w:p w14:paraId="6E03DA41">
      <w:pPr>
        <w:jc w:val="center"/>
        <w:rPr>
          <w:rFonts w:ascii="黑体" w:hAnsi="黑体" w:eastAsia="黑体"/>
          <w:sz w:val="44"/>
          <w:szCs w:val="44"/>
          <w:highlight w:val="none"/>
        </w:rPr>
      </w:pPr>
    </w:p>
    <w:p w14:paraId="34D8D65D">
      <w:pPr>
        <w:jc w:val="center"/>
        <w:rPr>
          <w:rFonts w:ascii="黑体" w:hAnsi="黑体" w:eastAsia="黑体"/>
          <w:sz w:val="44"/>
          <w:szCs w:val="44"/>
          <w:highlight w:val="none"/>
        </w:rPr>
      </w:pPr>
    </w:p>
    <w:p w14:paraId="01FD5D38">
      <w:pPr>
        <w:jc w:val="center"/>
        <w:rPr>
          <w:rFonts w:ascii="黑体" w:hAnsi="黑体" w:eastAsia="黑体"/>
          <w:sz w:val="44"/>
          <w:szCs w:val="44"/>
          <w:highlight w:val="none"/>
        </w:rPr>
      </w:pPr>
    </w:p>
    <w:p w14:paraId="380AB34E">
      <w:pPr>
        <w:jc w:val="center"/>
        <w:rPr>
          <w:rFonts w:ascii="黑体" w:hAnsi="黑体" w:eastAsia="黑体"/>
          <w:sz w:val="44"/>
          <w:szCs w:val="44"/>
          <w:highlight w:val="none"/>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highlight w:val="none"/>
        </w:rPr>
      </w:pPr>
    </w:p>
    <w:p w14:paraId="661A2997">
      <w:pPr>
        <w:jc w:val="center"/>
        <w:rPr>
          <w:rFonts w:ascii="黑体" w:hAnsi="黑体" w:eastAsia="黑体"/>
          <w:sz w:val="44"/>
          <w:szCs w:val="44"/>
          <w:highlight w:val="none"/>
        </w:rPr>
      </w:pPr>
    </w:p>
    <w:p w14:paraId="60FA0F16">
      <w:pPr>
        <w:jc w:val="center"/>
        <w:rPr>
          <w:rFonts w:ascii="黑体" w:hAnsi="黑体" w:eastAsia="黑体"/>
          <w:sz w:val="44"/>
          <w:szCs w:val="44"/>
          <w:highlight w:val="none"/>
        </w:rPr>
      </w:pPr>
    </w:p>
    <w:p w14:paraId="74A34429">
      <w:pPr>
        <w:jc w:val="center"/>
        <w:rPr>
          <w:rFonts w:ascii="黑体" w:hAnsi="黑体" w:eastAsia="黑体"/>
          <w:sz w:val="44"/>
          <w:szCs w:val="44"/>
          <w:highlight w:val="none"/>
        </w:rPr>
      </w:pPr>
    </w:p>
    <w:p w14:paraId="18C3CAAE">
      <w:pPr>
        <w:jc w:val="center"/>
        <w:rPr>
          <w:rFonts w:ascii="黑体" w:hAnsi="黑体" w:eastAsia="黑体"/>
          <w:sz w:val="44"/>
          <w:szCs w:val="44"/>
          <w:highlight w:val="none"/>
        </w:rPr>
      </w:pPr>
    </w:p>
    <w:p w14:paraId="406F54B2">
      <w:pPr>
        <w:jc w:val="center"/>
        <w:rPr>
          <w:rFonts w:hint="eastAsia" w:ascii="黑体" w:hAnsi="黑体" w:eastAsia="黑体"/>
          <w:sz w:val="44"/>
          <w:szCs w:val="44"/>
          <w:highlight w:val="none"/>
        </w:rPr>
      </w:pPr>
      <w:r>
        <w:rPr>
          <w:rFonts w:hint="eastAsia" w:ascii="黑体" w:hAnsi="黑体" w:eastAsia="黑体"/>
          <w:sz w:val="44"/>
          <w:szCs w:val="44"/>
          <w:highlight w:val="none"/>
          <w:lang w:val="en-US" w:eastAsia="zh-CN"/>
        </w:rPr>
        <w:t>永吉县人民政府办公室</w:t>
      </w:r>
      <w:r>
        <w:rPr>
          <w:rFonts w:hint="eastAsia" w:ascii="黑体" w:hAnsi="黑体" w:eastAsia="黑体"/>
          <w:sz w:val="44"/>
          <w:szCs w:val="44"/>
          <w:highlight w:val="none"/>
        </w:rPr>
        <w:t>2026年预算</w:t>
      </w:r>
    </w:p>
    <w:p w14:paraId="1F07C9F7">
      <w:pPr>
        <w:jc w:val="center"/>
        <w:rPr>
          <w:rFonts w:ascii="黑体" w:hAnsi="黑体" w:eastAsia="黑体"/>
          <w:sz w:val="44"/>
          <w:szCs w:val="44"/>
          <w:highlight w:val="none"/>
        </w:rPr>
      </w:pPr>
    </w:p>
    <w:p w14:paraId="63B0757E">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3BC81682">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73DDC628">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F6E16B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EE08171">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F11FF8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7BA36606">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7E4B53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收支总表</w:t>
      </w:r>
    </w:p>
    <w:p w14:paraId="257AF4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收入总表</w:t>
      </w:r>
    </w:p>
    <w:p w14:paraId="490A2BE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支出总表</w:t>
      </w:r>
    </w:p>
    <w:p w14:paraId="5F6425A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财政拨款收支总表</w:t>
      </w:r>
    </w:p>
    <w:p w14:paraId="500637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CBA4F0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534C5B2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一般公共预算“三公”经费支出表</w:t>
      </w:r>
    </w:p>
    <w:p w14:paraId="4685FD4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政府性基金预算支出表</w:t>
      </w:r>
    </w:p>
    <w:p w14:paraId="696DB8A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国有资本经营预算支出表</w:t>
      </w:r>
    </w:p>
    <w:p w14:paraId="2C937F0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项目支出表</w:t>
      </w:r>
    </w:p>
    <w:p w14:paraId="3CED8429">
      <w:pPr>
        <w:rPr>
          <w:rFonts w:ascii="仿宋" w:hAnsi="仿宋" w:eastAsia="仿宋"/>
          <w:sz w:val="32"/>
          <w:szCs w:val="32"/>
          <w:highlight w:val="none"/>
        </w:rPr>
      </w:pPr>
    </w:p>
    <w:p w14:paraId="69BD7CEA">
      <w:pPr>
        <w:rPr>
          <w:rFonts w:ascii="仿宋" w:hAnsi="仿宋" w:eastAsia="仿宋"/>
          <w:sz w:val="32"/>
          <w:szCs w:val="32"/>
          <w:highlight w:val="none"/>
        </w:rPr>
      </w:pPr>
    </w:p>
    <w:p w14:paraId="549DAA5E">
      <w:pPr>
        <w:rPr>
          <w:rFonts w:ascii="仿宋" w:hAnsi="仿宋" w:eastAsia="仿宋"/>
          <w:sz w:val="32"/>
          <w:szCs w:val="32"/>
          <w:highlight w:val="none"/>
        </w:rPr>
      </w:pPr>
    </w:p>
    <w:p w14:paraId="4E48F873">
      <w:pPr>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14:paraId="519B9A3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6AD7C00">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2FD0AE03">
      <w:pPr>
        <w:pStyle w:val="10"/>
        <w:widowControl/>
        <w:spacing w:line="620" w:lineRule="exact"/>
        <w:ind w:firstLine="320" w:firstLineChars="100"/>
        <w:contextualSpacing/>
        <w:rPr>
          <w:rFonts w:hint="eastAsia" w:ascii="仿宋" w:hAnsi="仿宋" w:eastAsia="仿宋"/>
          <w:bCs/>
          <w:sz w:val="32"/>
          <w:szCs w:val="32"/>
          <w:highlight w:val="none"/>
        </w:rPr>
      </w:pPr>
      <w:r>
        <w:rPr>
          <w:rFonts w:hint="eastAsia" w:ascii="仿宋" w:hAnsi="仿宋" w:eastAsia="仿宋"/>
          <w:bCs/>
          <w:sz w:val="32"/>
          <w:szCs w:val="32"/>
          <w:highlight w:val="none"/>
        </w:rPr>
        <w:t>单位名称：永吉县人民政府办公室</w:t>
      </w:r>
    </w:p>
    <w:p w14:paraId="20F5D80E">
      <w:pPr>
        <w:pStyle w:val="10"/>
        <w:widowControl/>
        <w:spacing w:line="620" w:lineRule="exact"/>
        <w:ind w:firstLine="320" w:firstLineChars="100"/>
        <w:contextualSpacing/>
        <w:rPr>
          <w:rFonts w:hint="eastAsia" w:ascii="仿宋" w:hAnsi="仿宋" w:eastAsia="仿宋"/>
          <w:bCs/>
          <w:sz w:val="32"/>
          <w:szCs w:val="32"/>
          <w:highlight w:val="none"/>
        </w:rPr>
      </w:pPr>
      <w:r>
        <w:rPr>
          <w:rFonts w:hint="eastAsia" w:ascii="仿宋" w:hAnsi="仿宋" w:eastAsia="仿宋"/>
          <w:bCs/>
          <w:sz w:val="32"/>
          <w:szCs w:val="32"/>
          <w:highlight w:val="none"/>
        </w:rPr>
        <w:t>单位性质：行政单位</w:t>
      </w:r>
    </w:p>
    <w:p w14:paraId="7C8A33B5">
      <w:pPr>
        <w:pStyle w:val="10"/>
        <w:widowControl/>
        <w:spacing w:line="620" w:lineRule="exact"/>
        <w:ind w:firstLine="320" w:firstLineChars="100"/>
        <w:contextualSpacing/>
        <w:rPr>
          <w:rFonts w:hint="eastAsia" w:ascii="仿宋" w:hAnsi="仿宋" w:eastAsia="仿宋"/>
          <w:bCs/>
          <w:sz w:val="32"/>
          <w:szCs w:val="32"/>
          <w:highlight w:val="none"/>
        </w:rPr>
      </w:pPr>
      <w:r>
        <w:rPr>
          <w:rFonts w:hint="eastAsia" w:ascii="仿宋" w:hAnsi="仿宋" w:eastAsia="仿宋"/>
          <w:bCs/>
          <w:sz w:val="32"/>
          <w:szCs w:val="32"/>
          <w:highlight w:val="none"/>
        </w:rPr>
        <w:t>主要职能：（一）根据县政府领导同志指示，组织或参与起草县政府重要会议文件，起草县政府领导同志部分讲话稿和其他文稿。（二）对国内外经济形势、有关省市经济政策和社会发展政策进行分析和研究，提出政策建议。负责组织或参与对全县改革开放和经济社会发展中的重大问题进行调查研究提出政策性建议。收集、分析、整理和报送经济社会发展的重要信息、动态，为县政府决策提供参考建议。（三）负责县政府会议的准备和衔接工作，协助县政府领导组织实施会议决定事项；负责县政府领导公务活动安排和县政府公务接待工作。（四）发挥好县政府办公室主任、副主任联系县长作用；协助联系县长召开各种专题会、调度会、工作会；做好联系县长交办的其它事项。（五）协助县政府领导组织起草或审核、印发以县政府、县政府办公室名义发布的公文；指导全县政府系统公文办理工作。（六）研究乡镇政府、开发区和县政府部门请示县政府的事项，提出审核意见，报县政府领导审批。（七）编发政务信息，为县政府领导及县直部门和乡镇政府、开发区提供信息服务，指导全县政府系统政务信息报送工作。（八）深入贯彻落实习近平总书记提出的“谋实招、讲实话、办实事、求实效”等重要指示精神，督促检查乡镇政府、开发区和县政府部门对县政府决定事项及县政府领导有关批示的执行落实情况并及时报告，确保党中央、国务院和省市县党委和政府各项决策部署及任务目标落到实处。（九）组织指导县政府承办的人大代表建议和政协委员提案办理工作。（十）负责县政府总值班和县长公开电话工作，及时向县政府领导报告重要情况，传达和督促落实县政府领导指示。（十一）负责全县外事的管理工作。（十二）负责办公室内部党务、人事、劳资、财务、安保、纪检、监察和机关离退休干部管理服务工作；负责办公室内部日常事务管理和协调工作。（十三）负责推进、指导、协调、监督全县的公共机构节能工作；拟订全县公共机构节约能源管理的规划、相关制度并组织实施；负责县直机关节约能源管理工作，会同有关部门制定规划、相关制度并组织实施。（十四）完成县委、县政府交办的其他任务。</w:t>
      </w:r>
    </w:p>
    <w:p w14:paraId="6888D18E">
      <w:pPr>
        <w:pStyle w:val="10"/>
        <w:widowControl/>
        <w:spacing w:line="620" w:lineRule="exact"/>
        <w:ind w:firstLine="320" w:firstLineChars="100"/>
        <w:contextualSpacing/>
        <w:rPr>
          <w:rFonts w:hint="eastAsia" w:ascii="仿宋" w:hAnsi="仿宋" w:eastAsia="仿宋"/>
          <w:bCs/>
          <w:sz w:val="32"/>
          <w:szCs w:val="32"/>
          <w:highlight w:val="none"/>
        </w:rPr>
      </w:pPr>
      <w:r>
        <w:rPr>
          <w:rFonts w:hint="eastAsia" w:ascii="仿宋" w:hAnsi="仿宋" w:eastAsia="仿宋"/>
          <w:bCs/>
          <w:sz w:val="32"/>
          <w:szCs w:val="32"/>
          <w:highlight w:val="none"/>
        </w:rPr>
        <w:t>主要业务：人员经费、公用经费和其他固定支出。</w:t>
      </w:r>
    </w:p>
    <w:p w14:paraId="6D752CA2">
      <w:pPr>
        <w:pStyle w:val="10"/>
        <w:widowControl/>
        <w:spacing w:line="620" w:lineRule="exact"/>
        <w:ind w:firstLine="320" w:firstLineChars="100"/>
        <w:contextualSpacing/>
        <w:rPr>
          <w:rFonts w:hint="eastAsia" w:ascii="仿宋" w:hAnsi="仿宋" w:eastAsia="仿宋"/>
          <w:bCs/>
          <w:sz w:val="32"/>
          <w:szCs w:val="32"/>
          <w:highlight w:val="none"/>
        </w:rPr>
      </w:pPr>
      <w:r>
        <w:rPr>
          <w:rFonts w:hint="eastAsia" w:ascii="仿宋" w:hAnsi="仿宋" w:eastAsia="仿宋"/>
          <w:bCs/>
          <w:sz w:val="32"/>
          <w:szCs w:val="32"/>
          <w:highlight w:val="none"/>
        </w:rPr>
        <w:t>二、机构设置</w:t>
      </w:r>
    </w:p>
    <w:p w14:paraId="7A479F50">
      <w:pPr>
        <w:pStyle w:val="10"/>
        <w:widowControl/>
        <w:spacing w:line="620" w:lineRule="exact"/>
        <w:ind w:firstLine="320" w:firstLineChars="100"/>
        <w:contextualSpacing/>
        <w:rPr>
          <w:rFonts w:hint="eastAsia" w:ascii="仿宋" w:hAnsi="仿宋" w:eastAsia="仿宋"/>
          <w:bCs/>
          <w:sz w:val="32"/>
          <w:szCs w:val="32"/>
          <w:highlight w:val="none"/>
        </w:rPr>
      </w:pPr>
      <w:r>
        <w:rPr>
          <w:rFonts w:hint="eastAsia" w:ascii="仿宋" w:hAnsi="仿宋" w:eastAsia="仿宋"/>
          <w:bCs/>
          <w:sz w:val="32"/>
          <w:szCs w:val="32"/>
          <w:highlight w:val="none"/>
        </w:rPr>
        <w:t>机构设置包括：综合科、秘书科、总值班室、督查建议提案科、调研信息科、行政外事节能科、党务人事科。</w:t>
      </w:r>
    </w:p>
    <w:p w14:paraId="546B2C04">
      <w:pPr>
        <w:pStyle w:val="10"/>
        <w:widowControl/>
        <w:spacing w:line="620" w:lineRule="exact"/>
        <w:ind w:firstLine="320" w:firstLineChars="100"/>
        <w:contextualSpacing/>
        <w:rPr>
          <w:rFonts w:hint="eastAsia" w:ascii="仿宋" w:hAnsi="仿宋" w:eastAsia="仿宋"/>
          <w:bCs/>
          <w:sz w:val="32"/>
          <w:szCs w:val="32"/>
          <w:highlight w:val="none"/>
        </w:rPr>
      </w:pPr>
      <w:r>
        <w:rPr>
          <w:rFonts w:hint="eastAsia" w:ascii="仿宋" w:hAnsi="仿宋" w:eastAsia="仿宋"/>
          <w:bCs/>
          <w:sz w:val="32"/>
          <w:szCs w:val="32"/>
          <w:highlight w:val="none"/>
        </w:rPr>
        <w:t>人员情况：在职人员27人，编制数38人，领导职数11个。</w:t>
      </w:r>
    </w:p>
    <w:p w14:paraId="6FD1930E">
      <w:pPr>
        <w:pStyle w:val="10"/>
        <w:widowControl/>
        <w:spacing w:line="620" w:lineRule="exact"/>
        <w:ind w:firstLine="320" w:firstLineChars="100"/>
        <w:contextualSpacing/>
        <w:rPr>
          <w:rFonts w:hint="eastAsia" w:ascii="仿宋" w:hAnsi="仿宋" w:eastAsia="仿宋"/>
          <w:bCs/>
          <w:sz w:val="32"/>
          <w:szCs w:val="32"/>
          <w:highlight w:val="none"/>
        </w:rPr>
      </w:pPr>
    </w:p>
    <w:p w14:paraId="08C38348">
      <w:pPr>
        <w:jc w:val="center"/>
        <w:rPr>
          <w:rFonts w:ascii="黑体" w:hAnsi="黑体" w:eastAsia="黑体"/>
          <w:sz w:val="32"/>
          <w:szCs w:val="32"/>
          <w:highlight w:val="none"/>
        </w:rPr>
      </w:pPr>
    </w:p>
    <w:p w14:paraId="653D2C6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A61294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4665F9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一、2026年收支预算总体情况</w:t>
      </w:r>
    </w:p>
    <w:p w14:paraId="790B2477">
      <w:pPr>
        <w:pStyle w:val="11"/>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highlight w:val="none"/>
          <w:lang w:val="en-US" w:eastAsia="zh-CN"/>
        </w:rPr>
        <w:t>417.94</w:t>
      </w:r>
      <w:r>
        <w:rPr>
          <w:rFonts w:hint="eastAsia" w:ascii="仿宋" w:hAnsi="仿宋" w:eastAsia="仿宋"/>
          <w:sz w:val="32"/>
          <w:szCs w:val="32"/>
          <w:highlight w:val="none"/>
        </w:rPr>
        <w:t xml:space="preserve"> 万元，比 2025年预算数 353.56 万元增</w:t>
      </w:r>
      <w:r>
        <w:rPr>
          <w:rFonts w:hint="eastAsia" w:ascii="仿宋" w:hAnsi="仿宋" w:eastAsia="仿宋"/>
          <w:sz w:val="32"/>
          <w:szCs w:val="32"/>
          <w:highlight w:val="none"/>
          <w:lang w:val="en-US" w:eastAsia="zh-CN"/>
        </w:rPr>
        <w:t>加</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64.38</w:t>
      </w:r>
      <w:r>
        <w:rPr>
          <w:rFonts w:hint="eastAsia" w:ascii="仿宋" w:hAnsi="仿宋" w:eastAsia="仿宋"/>
          <w:sz w:val="32"/>
          <w:szCs w:val="32"/>
          <w:highlight w:val="none"/>
        </w:rPr>
        <w:t xml:space="preserve"> 万元，主要原因：</w:t>
      </w:r>
      <w:r>
        <w:rPr>
          <w:rFonts w:hint="eastAsia" w:ascii="仿宋" w:hAnsi="仿宋" w:eastAsia="仿宋"/>
          <w:sz w:val="32"/>
          <w:szCs w:val="32"/>
          <w:highlight w:val="none"/>
          <w:lang w:val="en-US" w:eastAsia="zh-CN"/>
        </w:rPr>
        <w:t>工资普调后人员工资增加</w:t>
      </w:r>
      <w:r>
        <w:rPr>
          <w:rFonts w:hint="eastAsia" w:ascii="仿宋" w:hAnsi="仿宋" w:eastAsia="仿宋"/>
          <w:sz w:val="32"/>
          <w:szCs w:val="32"/>
          <w:highlight w:val="none"/>
        </w:rPr>
        <w:t>。</w:t>
      </w:r>
    </w:p>
    <w:p w14:paraId="0594D50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二、2026年收入预算情况</w:t>
      </w:r>
    </w:p>
    <w:p w14:paraId="5BB9355F">
      <w:pPr>
        <w:pStyle w:val="11"/>
        <w:ind w:left="319" w:leftChars="152" w:firstLine="320" w:firstLineChars="100"/>
        <w:jc w:val="left"/>
        <w:rPr>
          <w:rFonts w:ascii="仿宋" w:hAnsi="仿宋" w:eastAsia="仿宋"/>
          <w:sz w:val="32"/>
          <w:szCs w:val="32"/>
          <w:highlight w:val="none"/>
        </w:rPr>
      </w:pPr>
      <w:r>
        <w:rPr>
          <w:rFonts w:hint="eastAsia" w:ascii="仿宋" w:hAnsi="仿宋" w:eastAsia="仿宋"/>
          <w:sz w:val="32"/>
          <w:szCs w:val="32"/>
          <w:highlight w:val="none"/>
        </w:rPr>
        <w:t xml:space="preserve">2026年本单位收入预算 </w:t>
      </w:r>
      <w:r>
        <w:rPr>
          <w:rFonts w:hint="eastAsia" w:ascii="仿宋" w:hAnsi="仿宋" w:eastAsia="仿宋"/>
          <w:sz w:val="32"/>
          <w:szCs w:val="32"/>
          <w:highlight w:val="none"/>
          <w:lang w:val="en-US" w:eastAsia="zh-CN"/>
        </w:rPr>
        <w:t>417.94</w:t>
      </w:r>
      <w:r>
        <w:rPr>
          <w:rFonts w:hint="eastAsia" w:ascii="仿宋" w:hAnsi="仿宋" w:eastAsia="仿宋"/>
          <w:sz w:val="32"/>
          <w:szCs w:val="32"/>
          <w:highlight w:val="none"/>
        </w:rPr>
        <w:t xml:space="preserve"> 万元，其中：一般公共预算收入 </w:t>
      </w:r>
      <w:r>
        <w:rPr>
          <w:rFonts w:hint="eastAsia" w:ascii="仿宋" w:hAnsi="仿宋" w:eastAsia="仿宋"/>
          <w:sz w:val="32"/>
          <w:szCs w:val="32"/>
          <w:highlight w:val="none"/>
          <w:lang w:val="en-US" w:eastAsia="zh-CN"/>
        </w:rPr>
        <w:t>417.94</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100.00</w:t>
      </w:r>
      <w:r>
        <w:rPr>
          <w:rFonts w:hint="eastAsia" w:ascii="仿宋" w:hAnsi="仿宋" w:eastAsia="仿宋"/>
          <w:sz w:val="32"/>
          <w:szCs w:val="32"/>
          <w:highlight w:val="none"/>
        </w:rPr>
        <w:t xml:space="preserve">%；政府性基金收入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262A2F8F">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三、2026年支出预算情况</w:t>
      </w:r>
    </w:p>
    <w:p w14:paraId="25859D7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2026年支出预算</w:t>
      </w:r>
      <w:r>
        <w:rPr>
          <w:rFonts w:hint="eastAsia" w:ascii="仿宋" w:hAnsi="仿宋" w:eastAsia="仿宋"/>
          <w:sz w:val="32"/>
          <w:szCs w:val="32"/>
          <w:highlight w:val="none"/>
          <w:lang w:val="en-US" w:eastAsia="zh-CN"/>
        </w:rPr>
        <w:t>417.94</w:t>
      </w:r>
      <w:r>
        <w:rPr>
          <w:rFonts w:hint="eastAsia" w:ascii="仿宋" w:hAnsi="仿宋" w:eastAsia="仿宋"/>
          <w:sz w:val="32"/>
          <w:szCs w:val="32"/>
          <w:highlight w:val="none"/>
        </w:rPr>
        <w:t xml:space="preserve">万元，其中：基本支出 </w:t>
      </w:r>
      <w:r>
        <w:rPr>
          <w:rFonts w:hint="eastAsia" w:ascii="仿宋" w:hAnsi="仿宋" w:eastAsia="仿宋"/>
          <w:sz w:val="32"/>
          <w:szCs w:val="32"/>
          <w:highlight w:val="none"/>
          <w:lang w:val="en-US" w:eastAsia="zh-CN"/>
        </w:rPr>
        <w:t>412.94</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98.80</w:t>
      </w:r>
      <w:r>
        <w:rPr>
          <w:rFonts w:hint="eastAsia" w:ascii="仿宋" w:hAnsi="仿宋" w:eastAsia="仿宋"/>
          <w:sz w:val="32"/>
          <w:szCs w:val="32"/>
          <w:highlight w:val="none"/>
        </w:rPr>
        <w:t xml:space="preserve">%；项目支出 </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1.20</w:t>
      </w:r>
      <w:r>
        <w:rPr>
          <w:rFonts w:hint="eastAsia" w:ascii="仿宋" w:hAnsi="仿宋" w:eastAsia="仿宋"/>
          <w:sz w:val="32"/>
          <w:szCs w:val="32"/>
          <w:highlight w:val="none"/>
        </w:rPr>
        <w:t>%。</w:t>
      </w:r>
    </w:p>
    <w:p w14:paraId="51040F2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四、2026年财政拨款收支预算情况</w:t>
      </w:r>
    </w:p>
    <w:p w14:paraId="032F5B2D">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rPr>
        <w:t>2026年财政拨款收支总预算</w:t>
      </w:r>
      <w:r>
        <w:rPr>
          <w:rFonts w:hint="eastAsia" w:ascii="仿宋" w:hAnsi="仿宋" w:eastAsia="仿宋"/>
          <w:sz w:val="32"/>
          <w:szCs w:val="32"/>
          <w:highlight w:val="none"/>
          <w:lang w:val="en-US" w:eastAsia="zh-CN"/>
        </w:rPr>
        <w:t>417.94</w:t>
      </w:r>
      <w:r>
        <w:rPr>
          <w:rFonts w:hint="eastAsia" w:ascii="仿宋" w:hAnsi="仿宋" w:eastAsia="仿宋"/>
          <w:sz w:val="32"/>
          <w:szCs w:val="32"/>
          <w:highlight w:val="none"/>
        </w:rPr>
        <w:t>万元，其中：本年收入 417.94 万元。本年支出</w:t>
      </w:r>
      <w:r>
        <w:rPr>
          <w:rFonts w:hint="eastAsia" w:ascii="仿宋" w:hAnsi="仿宋" w:eastAsia="仿宋"/>
          <w:sz w:val="32"/>
          <w:szCs w:val="32"/>
          <w:highlight w:val="none"/>
          <w:lang w:val="en-US" w:eastAsia="zh-CN"/>
        </w:rPr>
        <w:t>417.94</w:t>
      </w:r>
      <w:r>
        <w:rPr>
          <w:rFonts w:hint="eastAsia" w:ascii="仿宋" w:hAnsi="仿宋" w:eastAsia="仿宋"/>
          <w:sz w:val="32"/>
          <w:szCs w:val="32"/>
          <w:highlight w:val="none"/>
        </w:rPr>
        <w:t>万元，支出包括：一般公共服务支出</w:t>
      </w:r>
      <w:r>
        <w:rPr>
          <w:rFonts w:hint="eastAsia" w:ascii="仿宋" w:hAnsi="仿宋" w:eastAsia="仿宋"/>
          <w:sz w:val="32"/>
          <w:szCs w:val="32"/>
          <w:highlight w:val="none"/>
          <w:lang w:val="en-US" w:eastAsia="zh-CN"/>
        </w:rPr>
        <w:t>347.90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39.01</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31.04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113EA7E6">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rPr>
        <w:t>五、2026</w:t>
      </w:r>
      <w:r>
        <w:rPr>
          <w:rFonts w:hint="eastAsia" w:ascii="楷体" w:hAnsi="楷体" w:eastAsia="楷体"/>
          <w:kern w:val="0"/>
          <w:sz w:val="32"/>
          <w:szCs w:val="32"/>
          <w:highlight w:val="none"/>
        </w:rPr>
        <w:t>年一般公共预算支出情况</w:t>
      </w:r>
    </w:p>
    <w:p w14:paraId="362C178E">
      <w:pPr>
        <w:ind w:firstLine="640" w:firstLineChars="200"/>
        <w:rPr>
          <w:rFonts w:ascii="仿宋" w:hAnsi="仿宋" w:eastAsia="仿宋"/>
          <w:sz w:val="32"/>
          <w:szCs w:val="32"/>
          <w:highlight w:val="none"/>
        </w:rPr>
      </w:pPr>
      <w:r>
        <w:rPr>
          <w:rFonts w:hint="eastAsia" w:ascii="仿宋" w:hAnsi="仿宋" w:eastAsia="仿宋"/>
          <w:sz w:val="32"/>
          <w:szCs w:val="32"/>
          <w:highlight w:val="none"/>
        </w:rPr>
        <w:t>2026年一般公共预算当年拨款</w:t>
      </w:r>
      <w:r>
        <w:rPr>
          <w:rFonts w:hint="eastAsia" w:ascii="仿宋" w:hAnsi="仿宋" w:eastAsia="仿宋"/>
          <w:sz w:val="32"/>
          <w:szCs w:val="32"/>
          <w:highlight w:val="none"/>
          <w:lang w:val="en-US" w:eastAsia="zh-CN"/>
        </w:rPr>
        <w:t>417.94</w:t>
      </w:r>
      <w:r>
        <w:rPr>
          <w:rFonts w:hint="eastAsia" w:ascii="仿宋" w:hAnsi="仿宋" w:eastAsia="仿宋"/>
          <w:sz w:val="32"/>
          <w:szCs w:val="32"/>
          <w:highlight w:val="none"/>
        </w:rPr>
        <w:t>万元，其中：基本支出</w:t>
      </w:r>
      <w:r>
        <w:rPr>
          <w:rFonts w:hint="eastAsia" w:ascii="仿宋" w:hAnsi="仿宋" w:eastAsia="仿宋"/>
          <w:sz w:val="32"/>
          <w:szCs w:val="32"/>
          <w:highlight w:val="none"/>
          <w:lang w:val="en-US" w:eastAsia="zh-CN"/>
        </w:rPr>
        <w:t>412.94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98.80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1.20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336.74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81.55</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76.20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18.45</w:t>
      </w:r>
      <w:r>
        <w:rPr>
          <w:rFonts w:hint="eastAsia" w:ascii="仿宋" w:hAnsi="仿宋" w:eastAsia="仿宋"/>
          <w:sz w:val="32"/>
          <w:szCs w:val="32"/>
          <w:highlight w:val="none"/>
        </w:rPr>
        <w:t>%。</w:t>
      </w:r>
    </w:p>
    <w:p w14:paraId="7AE3769D">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一般公共服务（类）支出 </w:t>
      </w:r>
      <w:r>
        <w:rPr>
          <w:rFonts w:hint="eastAsia" w:ascii="仿宋" w:hAnsi="仿宋" w:eastAsia="仿宋"/>
          <w:sz w:val="32"/>
          <w:szCs w:val="32"/>
          <w:highlight w:val="none"/>
          <w:lang w:val="en-US" w:eastAsia="zh-CN"/>
        </w:rPr>
        <w:t>347.90</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83.24</w:t>
      </w:r>
      <w:r>
        <w:rPr>
          <w:rFonts w:hint="eastAsia" w:ascii="仿宋" w:hAnsi="仿宋" w:eastAsia="仿宋"/>
          <w:sz w:val="32"/>
          <w:szCs w:val="32"/>
          <w:highlight w:val="none"/>
        </w:rPr>
        <w:t>%，主要用于：人员工资福利和商品服务支出。</w:t>
      </w:r>
    </w:p>
    <w:p w14:paraId="59F47C99">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社会保障和就业（类）支出 </w:t>
      </w:r>
      <w:r>
        <w:rPr>
          <w:rFonts w:hint="eastAsia" w:ascii="仿宋" w:hAnsi="仿宋" w:eastAsia="仿宋"/>
          <w:sz w:val="32"/>
          <w:szCs w:val="32"/>
          <w:highlight w:val="none"/>
          <w:lang w:val="en-US" w:eastAsia="zh-CN"/>
        </w:rPr>
        <w:t>39.01</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9.33</w:t>
      </w:r>
      <w:r>
        <w:rPr>
          <w:rFonts w:hint="eastAsia" w:ascii="仿宋" w:hAnsi="仿宋" w:eastAsia="仿宋"/>
          <w:sz w:val="32"/>
          <w:szCs w:val="32"/>
          <w:highlight w:val="none"/>
        </w:rPr>
        <w:t>%，主要用于：人员养老保险、医保、工伤保险。</w:t>
      </w:r>
    </w:p>
    <w:p w14:paraId="752A0F73">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住房保障（类）支出 </w:t>
      </w:r>
      <w:r>
        <w:rPr>
          <w:rFonts w:hint="eastAsia" w:ascii="仿宋" w:hAnsi="仿宋" w:eastAsia="仿宋"/>
          <w:sz w:val="32"/>
          <w:szCs w:val="32"/>
          <w:highlight w:val="none"/>
          <w:lang w:val="en-US" w:eastAsia="zh-CN"/>
        </w:rPr>
        <w:t>31.04</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7.43</w:t>
      </w:r>
      <w:r>
        <w:rPr>
          <w:rFonts w:hint="eastAsia" w:ascii="仿宋" w:hAnsi="仿宋" w:eastAsia="仿宋"/>
          <w:sz w:val="32"/>
          <w:szCs w:val="32"/>
          <w:highlight w:val="none"/>
        </w:rPr>
        <w:t>%，主要用于：</w:t>
      </w:r>
      <w:r>
        <w:rPr>
          <w:rFonts w:hint="eastAsia" w:ascii="仿宋" w:hAnsi="仿宋" w:eastAsia="仿宋"/>
          <w:sz w:val="32"/>
          <w:szCs w:val="32"/>
          <w:highlight w:val="none"/>
          <w:lang w:val="en-US" w:eastAsia="zh-CN"/>
        </w:rPr>
        <w:t>人员公积金</w:t>
      </w:r>
      <w:r>
        <w:rPr>
          <w:rFonts w:hint="eastAsia" w:ascii="仿宋" w:hAnsi="仿宋" w:eastAsia="仿宋"/>
          <w:sz w:val="32"/>
          <w:szCs w:val="32"/>
          <w:highlight w:val="none"/>
        </w:rPr>
        <w:t>。</w:t>
      </w:r>
    </w:p>
    <w:p w14:paraId="55FEE9D0">
      <w:pPr>
        <w:ind w:firstLine="640" w:firstLineChars="200"/>
        <w:rPr>
          <w:rFonts w:ascii="仿宋" w:hAnsi="仿宋" w:eastAsia="仿宋"/>
          <w:sz w:val="32"/>
          <w:szCs w:val="32"/>
          <w:highlight w:val="none"/>
        </w:rPr>
      </w:pPr>
      <w:r>
        <w:rPr>
          <w:rFonts w:hint="eastAsia" w:ascii="仿宋" w:hAnsi="仿宋" w:eastAsia="仿宋"/>
          <w:sz w:val="32"/>
          <w:szCs w:val="32"/>
          <w:highlight w:val="none"/>
        </w:rPr>
        <w:t>......</w:t>
      </w:r>
    </w:p>
    <w:p w14:paraId="1D655B29">
      <w:pPr>
        <w:pStyle w:val="9"/>
        <w:rPr>
          <w:rFonts w:ascii="楷体" w:hAnsi="楷体" w:eastAsia="楷体"/>
          <w:kern w:val="0"/>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rPr>
        <w:t>六、2026年一般公共预算基本支出情况</w:t>
      </w:r>
    </w:p>
    <w:p w14:paraId="28556014">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2026年一般公共预算基本支出 </w:t>
      </w:r>
      <w:r>
        <w:rPr>
          <w:rFonts w:hint="eastAsia" w:ascii="仿宋" w:hAnsi="仿宋" w:eastAsia="仿宋"/>
          <w:sz w:val="32"/>
          <w:szCs w:val="32"/>
          <w:highlight w:val="none"/>
          <w:lang w:val="en-US" w:eastAsia="zh-CN"/>
        </w:rPr>
        <w:t>412.94</w:t>
      </w:r>
      <w:r>
        <w:rPr>
          <w:rFonts w:hint="eastAsia" w:ascii="仿宋" w:hAnsi="仿宋" w:eastAsia="仿宋"/>
          <w:sz w:val="32"/>
          <w:szCs w:val="32"/>
          <w:highlight w:val="none"/>
        </w:rPr>
        <w:t xml:space="preserve"> 万元，其中：</w:t>
      </w:r>
    </w:p>
    <w:p w14:paraId="03F4859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336.74</w:t>
      </w:r>
      <w:r>
        <w:rPr>
          <w:rFonts w:hint="eastAsia" w:ascii="仿宋" w:hAnsi="仿宋" w:eastAsia="仿宋"/>
          <w:sz w:val="32"/>
          <w:szCs w:val="32"/>
          <w:highlight w:val="none"/>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76.20</w:t>
      </w:r>
      <w:r>
        <w:rPr>
          <w:rFonts w:hint="eastAsia" w:ascii="仿宋" w:hAnsi="仿宋" w:eastAsia="仿宋"/>
          <w:sz w:val="32"/>
          <w:szCs w:val="32"/>
          <w:highlight w:val="none"/>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rPr>
        <w:t>七、2026年一般公共预算财政拨款“三公经费”情况</w:t>
      </w:r>
    </w:p>
    <w:p w14:paraId="2ABE82E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2026年“三公”经费预算数</w:t>
      </w:r>
      <w:r>
        <w:rPr>
          <w:rFonts w:hint="eastAsia" w:ascii="仿宋" w:hAnsi="仿宋" w:eastAsia="仿宋"/>
          <w:kern w:val="0"/>
          <w:sz w:val="32"/>
          <w:szCs w:val="32"/>
          <w:highlight w:val="none"/>
          <w:lang w:val="en-US" w:eastAsia="zh-CN"/>
        </w:rPr>
        <w:t>5.30</w:t>
      </w:r>
      <w:r>
        <w:rPr>
          <w:rFonts w:hint="eastAsia" w:ascii="仿宋" w:hAnsi="仿宋" w:eastAsia="仿宋"/>
          <w:kern w:val="0"/>
          <w:sz w:val="32"/>
          <w:szCs w:val="32"/>
          <w:highlight w:val="none"/>
        </w:rPr>
        <w:t xml:space="preserve"> 万元，比2025年预算减少 </w:t>
      </w:r>
      <w:r>
        <w:rPr>
          <w:rFonts w:hint="eastAsia" w:ascii="仿宋" w:hAnsi="仿宋" w:eastAsia="仿宋"/>
          <w:kern w:val="0"/>
          <w:sz w:val="32"/>
          <w:szCs w:val="32"/>
          <w:highlight w:val="none"/>
          <w:lang w:val="en-US" w:eastAsia="zh-CN"/>
        </w:rPr>
        <w:t>0.03</w:t>
      </w:r>
      <w:r>
        <w:rPr>
          <w:rFonts w:hint="eastAsia" w:ascii="仿宋" w:hAnsi="仿宋" w:eastAsia="仿宋"/>
          <w:kern w:val="0"/>
          <w:sz w:val="32"/>
          <w:szCs w:val="32"/>
          <w:highlight w:val="none"/>
        </w:rPr>
        <w:t xml:space="preserve"> 万元。其中：</w:t>
      </w:r>
    </w:p>
    <w:p w14:paraId="1319EA80">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1.因公出国（境）费 0 万元，与 2025年预算数相同。</w:t>
      </w:r>
    </w:p>
    <w:p w14:paraId="5B2D5F87">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0.3</w:t>
      </w:r>
      <w:r>
        <w:rPr>
          <w:rFonts w:hint="eastAsia" w:ascii="仿宋" w:hAnsi="仿宋" w:eastAsia="仿宋"/>
          <w:kern w:val="0"/>
          <w:sz w:val="32"/>
          <w:szCs w:val="32"/>
          <w:highlight w:val="none"/>
        </w:rPr>
        <w:t xml:space="preserve"> 万元，比 2025年预算数减少 </w:t>
      </w:r>
      <w:r>
        <w:rPr>
          <w:rFonts w:hint="eastAsia" w:ascii="仿宋" w:hAnsi="仿宋" w:eastAsia="仿宋"/>
          <w:kern w:val="0"/>
          <w:sz w:val="32"/>
          <w:szCs w:val="32"/>
          <w:highlight w:val="none"/>
          <w:lang w:val="en-US" w:eastAsia="zh-CN"/>
        </w:rPr>
        <w:t>0.03</w:t>
      </w:r>
      <w:r>
        <w:rPr>
          <w:rFonts w:hint="eastAsia" w:ascii="仿宋" w:hAnsi="仿宋" w:eastAsia="仿宋"/>
          <w:kern w:val="0"/>
          <w:sz w:val="32"/>
          <w:szCs w:val="32"/>
          <w:highlight w:val="none"/>
        </w:rPr>
        <w:t xml:space="preserve"> 万元，主要原因是控制公务接待数量和标准。</w:t>
      </w:r>
    </w:p>
    <w:p w14:paraId="7288DF6E">
      <w:pPr>
        <w:pStyle w:val="9"/>
        <w:rPr>
          <w:rFonts w:ascii="仿宋" w:hAnsi="仿宋" w:eastAsia="仿宋"/>
          <w:kern w:val="0"/>
          <w:sz w:val="32"/>
          <w:szCs w:val="32"/>
          <w:highlight w:val="none"/>
        </w:rPr>
      </w:pPr>
      <w:r>
        <w:rPr>
          <w:rFonts w:hint="eastAsia" w:ascii="仿宋" w:hAnsi="仿宋" w:eastAsia="仿宋"/>
          <w:kern w:val="0"/>
          <w:sz w:val="32"/>
          <w:szCs w:val="32"/>
          <w:highlight w:val="none"/>
        </w:rPr>
        <w:t xml:space="preserve">3.公务用车购置及运行费 </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rPr>
        <w:t xml:space="preserve"> 2025 年预算数</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 xml:space="preserve">。其中，公务用车运行维护费 </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rPr>
        <w:t xml:space="preserve"> 2025年</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 xml:space="preserve">，公务用车购置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rPr>
        <w:t>2025年</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w:t>
      </w:r>
    </w:p>
    <w:p w14:paraId="60353E9A">
      <w:pPr>
        <w:pStyle w:val="9"/>
        <w:rPr>
          <w:rFonts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rPr>
        <w:t>八、2026年政府性基金预算支出情况</w:t>
      </w:r>
    </w:p>
    <w:p w14:paraId="6CFED0B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2026年本单位无政府性基金预算支出</w:t>
      </w:r>
    </w:p>
    <w:p w14:paraId="39906816">
      <w:pPr>
        <w:pStyle w:val="9"/>
        <w:ind w:firstLine="640"/>
        <w:rPr>
          <w:rFonts w:ascii="楷体" w:hAnsi="楷体" w:eastAsia="楷体" w:cs="楷体"/>
          <w:sz w:val="32"/>
          <w:szCs w:val="32"/>
          <w:highlight w:val="none"/>
        </w:rPr>
      </w:pPr>
      <w:r>
        <w:rPr>
          <w:rFonts w:hint="eastAsia" w:ascii="楷体" w:hAnsi="楷体" w:eastAsia="楷体" w:cs="楷体"/>
          <w:sz w:val="32"/>
          <w:szCs w:val="32"/>
          <w:highlight w:val="none"/>
        </w:rPr>
        <w:t>九、2026年国有资本经营预算支出情况</w:t>
      </w:r>
    </w:p>
    <w:p w14:paraId="782715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2026年本单位无国有资本经营预算支出。</w:t>
      </w:r>
    </w:p>
    <w:p w14:paraId="028EDDC6">
      <w:pPr>
        <w:numPr>
          <w:ilvl w:val="0"/>
          <w:numId w:val="3"/>
        </w:numPr>
        <w:jc w:val="left"/>
        <w:rPr>
          <w:rFonts w:ascii="楷体" w:hAnsi="楷体" w:eastAsia="楷体" w:cs="楷体"/>
          <w:sz w:val="32"/>
          <w:szCs w:val="32"/>
          <w:highlight w:val="none"/>
        </w:rPr>
      </w:pPr>
      <w:r>
        <w:rPr>
          <w:rFonts w:hint="eastAsia" w:ascii="楷体" w:hAnsi="楷体" w:eastAsia="楷体" w:cs="楷体"/>
          <w:sz w:val="32"/>
          <w:szCs w:val="32"/>
          <w:highlight w:val="none"/>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2026年本单位机关运行经费财政拨款预算 xx 万元，比 2025年预算增加/减少xx 万元，增长/下降**%，主要原因是***。</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2026年政府采购预算总额</w:t>
      </w:r>
      <w:r>
        <w:rPr>
          <w:rFonts w:hint="eastAsia" w:ascii="仿宋" w:hAnsi="仿宋" w:eastAsia="仿宋"/>
          <w:sz w:val="32"/>
          <w:szCs w:val="32"/>
          <w:highlight w:val="none"/>
          <w:lang w:val="en-US" w:eastAsia="zh-CN"/>
        </w:rPr>
        <w:t>76.20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12.88</w:t>
      </w:r>
      <w:r>
        <w:rPr>
          <w:rFonts w:hint="eastAsia" w:ascii="仿宋" w:hAnsi="仿宋" w:eastAsia="仿宋"/>
          <w:sz w:val="32"/>
          <w:szCs w:val="32"/>
          <w:highlight w:val="none"/>
        </w:rPr>
        <w:t xml:space="preserve">万元，政府采购工程预算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万元，政府采购服务预算 </w:t>
      </w:r>
      <w:r>
        <w:rPr>
          <w:rFonts w:hint="eastAsia" w:ascii="仿宋" w:hAnsi="仿宋" w:eastAsia="仿宋"/>
          <w:sz w:val="32"/>
          <w:szCs w:val="32"/>
          <w:highlight w:val="none"/>
          <w:lang w:val="en-US" w:eastAsia="zh-CN"/>
        </w:rPr>
        <w:t>6.30</w:t>
      </w:r>
      <w:r>
        <w:rPr>
          <w:rFonts w:hint="eastAsia" w:ascii="仿宋" w:hAnsi="仿宋" w:eastAsia="仿宋"/>
          <w:sz w:val="32"/>
          <w:szCs w:val="32"/>
          <w:highlight w:val="none"/>
        </w:rPr>
        <w:t xml:space="preserve"> 万元。</w:t>
      </w:r>
    </w:p>
    <w:p w14:paraId="32E1CB5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（三）国有资产占有使用情况</w:t>
      </w:r>
    </w:p>
    <w:p w14:paraId="6E80D1C3">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截至2026年1月，部门本级和所属各预算单位共有车辆* 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辆,一般执法执勤用车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辆、特种专业技术用车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辆、其他用车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辆，价值200万元以上大型设备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台（套）。</w:t>
      </w:r>
    </w:p>
    <w:p w14:paraId="7CFB465B">
      <w:pPr>
        <w:pStyle w:val="8"/>
        <w:ind w:firstLine="640"/>
        <w:jc w:val="left"/>
        <w:rPr>
          <w:rFonts w:ascii="仿宋" w:hAnsi="仿宋" w:eastAsia="仿宋"/>
          <w:sz w:val="32"/>
          <w:szCs w:val="32"/>
          <w:highlight w:val="none"/>
        </w:rPr>
      </w:pPr>
      <w:r>
        <w:rPr>
          <w:rFonts w:hint="eastAsia" w:ascii="仿宋" w:hAnsi="仿宋" w:eastAsia="仿宋"/>
          <w:sz w:val="32"/>
          <w:szCs w:val="32"/>
          <w:highlight w:val="none"/>
        </w:rPr>
        <w:t xml:space="preserve">2026年部门预算安排购置车辆及价值200万元以上大型设备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w:t>
      </w:r>
    </w:p>
    <w:p w14:paraId="6C4F406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按照全面实施预算绩效管理的要求，结合本部门职能和重点工作，2026年将 </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个项目支出的绩效目标和指标向社会公开，涉及金额 </w:t>
      </w:r>
      <w:r>
        <w:rPr>
          <w:rFonts w:hint="eastAsia" w:ascii="仿宋" w:hAnsi="仿宋" w:eastAsia="仿宋"/>
          <w:sz w:val="32"/>
          <w:szCs w:val="32"/>
          <w:highlight w:val="none"/>
          <w:lang w:val="en-US" w:eastAsia="zh-CN"/>
        </w:rPr>
        <w:t>5.00</w:t>
      </w:r>
      <w:r>
        <w:rPr>
          <w:rFonts w:hint="eastAsia" w:ascii="仿宋" w:hAnsi="仿宋" w:eastAsia="仿宋"/>
          <w:sz w:val="32"/>
          <w:szCs w:val="32"/>
          <w:highlight w:val="none"/>
        </w:rPr>
        <w:t>万元。</w:t>
      </w:r>
    </w:p>
    <w:p w14:paraId="3C527A83">
      <w:pPr>
        <w:jc w:val="center"/>
        <w:rPr>
          <w:rFonts w:ascii="仿宋" w:hAnsi="仿宋" w:eastAsia="仿宋"/>
          <w:sz w:val="32"/>
          <w:szCs w:val="32"/>
          <w:highlight w:val="none"/>
        </w:rPr>
      </w:pPr>
    </w:p>
    <w:p w14:paraId="5BEAB39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2BA8D4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一、一般公共预算拨款收入：指本级财政通过当年一般公共预算拨付的资金。</w:t>
      </w:r>
    </w:p>
    <w:p w14:paraId="2B7CFECE">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二、政府性基金预算拨款收入：指本级财政通过当年政府性基金预算拨付的资金。</w:t>
      </w:r>
    </w:p>
    <w:p w14:paraId="19E1AEFC">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三、国有资本经营预算拨款收入：指本级财政通过当年国有资本经营预算拨付的资金。</w:t>
      </w:r>
    </w:p>
    <w:p w14:paraId="253786D9">
      <w:pPr>
        <w:ind w:firstLine="640" w:firstLineChars="200"/>
        <w:rPr>
          <w:rFonts w:ascii="仿宋_GB2312" w:eastAsia="仿宋_GB2312"/>
          <w:sz w:val="32"/>
          <w:szCs w:val="32"/>
          <w:highlight w:val="none"/>
        </w:rPr>
      </w:pPr>
      <w:r>
        <w:rPr>
          <w:rFonts w:hint="eastAsia" w:ascii="仿宋_GB2312" w:eastAsia="仿宋_GB2312"/>
          <w:sz w:val="32"/>
          <w:szCs w:val="32"/>
          <w:highlight w:val="none"/>
        </w:rPr>
        <w:t>四、其他收入：指除上述收入以外的各项收入。包括银行存款利息收入。</w:t>
      </w:r>
    </w:p>
    <w:p w14:paraId="2EE06A32">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六、项目支出：指在基本支出之外为完成特定行政工作任务和事业发展目标所发生的各项支出。</w:t>
      </w:r>
    </w:p>
    <w:p w14:paraId="0FD705C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十二、项目支出绩效目标：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E9CC6">
      <w:pPr>
        <w:ind w:firstLine="640" w:firstLineChars="200"/>
        <w:rPr>
          <w:rFonts w:ascii="仿宋_GB2312" w:eastAsia="仿宋_GB2312"/>
          <w:sz w:val="32"/>
          <w:szCs w:val="32"/>
          <w:highlight w:val="none"/>
        </w:rPr>
      </w:pPr>
    </w:p>
    <w:p w14:paraId="38433E3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8250850">
      <w:pPr>
        <w:jc w:val="left"/>
        <w:rPr>
          <w:rFonts w:ascii="仿宋" w:hAnsi="仿宋" w:eastAsia="仿宋"/>
          <w:sz w:val="32"/>
          <w:szCs w:val="32"/>
          <w:highlight w:val="none"/>
        </w:rPr>
      </w:pPr>
    </w:p>
    <w:p w14:paraId="757010AF">
      <w:pPr>
        <w:jc w:val="left"/>
        <w:rPr>
          <w:rFonts w:ascii="仿宋" w:hAnsi="仿宋" w:eastAsia="仿宋"/>
          <w:sz w:val="32"/>
          <w:szCs w:val="32"/>
          <w:highlight w:val="none"/>
        </w:rPr>
      </w:pPr>
    </w:p>
    <w:p w14:paraId="1B9DA4B3">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0E3AD42">
      <w:pPr>
        <w:jc w:val="left"/>
        <w:rPr>
          <w:rFonts w:ascii="仿宋" w:hAnsi="仿宋" w:eastAsia="仿宋"/>
          <w:sz w:val="32"/>
          <w:szCs w:val="32"/>
          <w:highlight w:val="none"/>
        </w:rPr>
      </w:pPr>
      <w:r>
        <w:rPr>
          <w:rFonts w:hint="eastAsia" w:ascii="仿宋" w:hAnsi="仿宋" w:eastAsia="仿宋"/>
          <w:sz w:val="32"/>
          <w:szCs w:val="32"/>
          <w:highlight w:val="none"/>
        </w:rPr>
        <w:t>2026年部门预算表套表（预算一体化-“预算编制”模块-预算编制帆软报表查询中提取相应数据）。</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AE3219"/>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2517</Words>
  <Characters>2762</Characters>
  <Lines>21</Lines>
  <Paragraphs>6</Paragraphs>
  <TotalTime>23</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刘勇志</cp:lastModifiedBy>
  <dcterms:modified xsi:type="dcterms:W3CDTF">2026-03-23T07:09:12Z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eyJoZGlkIjoiZDJlMGUxYTZmNTY2ZTJhZDg2NmQwNmQzZjRiZDA4N2IiLCJ1c2VySWQiOiI0MTczODg3MTMifQ==</vt:lpwstr>
  </property>
</Properties>
</file>